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8B" w:rsidRPr="00E73D8B" w:rsidRDefault="00E73D8B" w:rsidP="00E73D8B">
      <w:pPr>
        <w:spacing w:line="360" w:lineRule="auto"/>
        <w:jc w:val="center"/>
        <w:rPr>
          <w:b/>
          <w:sz w:val="32"/>
          <w:szCs w:val="32"/>
        </w:rPr>
      </w:pPr>
      <w:r w:rsidRPr="00E73D8B">
        <w:rPr>
          <w:b/>
          <w:sz w:val="32"/>
          <w:szCs w:val="32"/>
        </w:rPr>
        <w:t>Заключение</w:t>
      </w:r>
    </w:p>
    <w:p w:rsidR="00E73D8B" w:rsidRPr="00E73D8B" w:rsidRDefault="00E73D8B" w:rsidP="00E73D8B">
      <w:pPr>
        <w:spacing w:line="360" w:lineRule="auto"/>
        <w:jc w:val="center"/>
        <w:rPr>
          <w:sz w:val="28"/>
          <w:szCs w:val="28"/>
        </w:rPr>
      </w:pPr>
    </w:p>
    <w:p w:rsidR="00E73D8B" w:rsidRPr="00E73D8B" w:rsidRDefault="00E73D8B" w:rsidP="00E73D8B">
      <w:pPr>
        <w:spacing w:line="360" w:lineRule="auto"/>
        <w:ind w:firstLine="567"/>
        <w:jc w:val="both"/>
        <w:rPr>
          <w:sz w:val="28"/>
          <w:szCs w:val="28"/>
        </w:rPr>
      </w:pPr>
      <w:r w:rsidRPr="00E73D8B">
        <w:rPr>
          <w:color w:val="000000"/>
          <w:sz w:val="28"/>
          <w:szCs w:val="28"/>
        </w:rPr>
        <w:t xml:space="preserve">В России взят курс на модернизацию и инновационное развитие экономики, сформированы основные компоненты национальной инновационной системы, однако анализ содержания и динамики статистических показателей позволил выявить непозволительно низкий уровень инновационной активности. При этом воздействие целого спектра объективных причин предопределяет снижение интереса отечественных организаций к инновационной деятельности, доля государства в финансировании затрат на внедрение технологических новшеств невелика (около 5%), основная нагрузка падает на собственные средства предприятий (около 70-90%), что представляется одним из основных недостатков государственной инновационной политики. Сказанное в существенной </w:t>
      </w:r>
      <w:bookmarkStart w:id="0" w:name="_GoBack"/>
      <w:bookmarkEnd w:id="0"/>
      <w:r w:rsidRPr="00E73D8B">
        <w:rPr>
          <w:color w:val="000000"/>
          <w:sz w:val="28"/>
          <w:szCs w:val="28"/>
        </w:rPr>
        <w:t xml:space="preserve">степени относится и к черной металлургии. </w:t>
      </w:r>
      <w:r w:rsidRPr="00E73D8B">
        <w:rPr>
          <w:sz w:val="28"/>
          <w:szCs w:val="28"/>
        </w:rPr>
        <w:t>А</w:t>
      </w:r>
      <w:r w:rsidRPr="00E73D8B">
        <w:rPr>
          <w:color w:val="000000"/>
          <w:sz w:val="28"/>
          <w:szCs w:val="28"/>
        </w:rPr>
        <w:t>нализ показал, что низкий уровень инновационной активности отечественных корпораций во многом предопределяется высоким уровнем инновационного риска.</w:t>
      </w:r>
    </w:p>
    <w:p w:rsidR="00E73D8B" w:rsidRPr="00E73D8B" w:rsidRDefault="00E73D8B" w:rsidP="00E73D8B">
      <w:pPr>
        <w:spacing w:line="360" w:lineRule="auto"/>
        <w:ind w:firstLine="567"/>
        <w:jc w:val="both"/>
        <w:rPr>
          <w:sz w:val="28"/>
          <w:szCs w:val="28"/>
        </w:rPr>
      </w:pPr>
      <w:r w:rsidRPr="00E73D8B">
        <w:rPr>
          <w:sz w:val="28"/>
          <w:szCs w:val="28"/>
        </w:rPr>
        <w:t>Несмотря на высокую рискованность внедрения технологических новшеств в современных корпорациях и необходимость теоретической и методологической проработки данной проблемы, все еще недостаточно рассматриваются, не систематизируются и не обобщаются вопросы взаимосвязанности и взаимного влияния процессов активизации инновационной деятельности предприятия, как с уровнем инновационного риска, так и с условиями нелинейной внешней среды. Для решения проблем оценки и управления высоким инновационным риском менеджментом, как правило, используются недостаточно совершенные и надежные инструменты. Наличие высокого уровня риска корпораций черной металлургии, реализующих инновационную стратегию, предопределяет настоятельную потребность как в организации эффективных и надежных подсистем риск-менеджмента на предприятиях, так и в совершенствовании методологии и методик идентификации, оценки, анализа и управления риском.</w:t>
      </w:r>
    </w:p>
    <w:p w:rsidR="00E73D8B" w:rsidRPr="00E73D8B" w:rsidRDefault="00E73D8B" w:rsidP="00E73D8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73D8B">
        <w:rPr>
          <w:color w:val="000000"/>
          <w:sz w:val="28"/>
          <w:szCs w:val="28"/>
        </w:rPr>
        <w:lastRenderedPageBreak/>
        <w:t>Слабым местом риск-менеджмента отечественных корпораций остается недо</w:t>
      </w:r>
      <w:r w:rsidRPr="00E73D8B">
        <w:rPr>
          <w:color w:val="000000"/>
          <w:sz w:val="28"/>
          <w:szCs w:val="28"/>
        </w:rPr>
        <w:t>с</w:t>
      </w:r>
      <w:r w:rsidRPr="00E73D8B">
        <w:rPr>
          <w:color w:val="000000"/>
          <w:sz w:val="28"/>
          <w:szCs w:val="28"/>
        </w:rPr>
        <w:t>таток квалифицированных специалистов и наличие ряда системных проблем: 1) отсутствие структурированной информации; 2) отсутствие стандартов работы; 3) отсутствие управления рисками в целях реализации инновационной страт</w:t>
      </w:r>
      <w:r w:rsidRPr="00E73D8B">
        <w:rPr>
          <w:color w:val="000000"/>
          <w:sz w:val="28"/>
          <w:szCs w:val="28"/>
        </w:rPr>
        <w:t>е</w:t>
      </w:r>
      <w:r w:rsidRPr="00E73D8B">
        <w:rPr>
          <w:color w:val="000000"/>
          <w:sz w:val="28"/>
          <w:szCs w:val="28"/>
        </w:rPr>
        <w:t>гии предприятия.</w:t>
      </w:r>
    </w:p>
    <w:p w:rsidR="00E73D8B" w:rsidRPr="00E73D8B" w:rsidRDefault="00E73D8B" w:rsidP="00E73D8B">
      <w:pPr>
        <w:spacing w:line="360" w:lineRule="auto"/>
        <w:ind w:firstLine="567"/>
        <w:jc w:val="both"/>
        <w:rPr>
          <w:sz w:val="28"/>
          <w:szCs w:val="28"/>
        </w:rPr>
      </w:pPr>
      <w:r w:rsidRPr="00E73D8B">
        <w:rPr>
          <w:sz w:val="28"/>
          <w:szCs w:val="28"/>
        </w:rPr>
        <w:t xml:space="preserve">Современные исследователи постепенно приходят к пониманию недостаточности широко распространенных методик оценки риска, основанных на </w:t>
      </w:r>
      <w:proofErr w:type="spellStart"/>
      <w:r w:rsidRPr="00E73D8B">
        <w:rPr>
          <w:sz w:val="28"/>
          <w:szCs w:val="28"/>
        </w:rPr>
        <w:t>марковских</w:t>
      </w:r>
      <w:proofErr w:type="spellEnd"/>
      <w:r w:rsidRPr="00E73D8B">
        <w:rPr>
          <w:sz w:val="28"/>
          <w:szCs w:val="28"/>
        </w:rPr>
        <w:t xml:space="preserve"> процессах, все более ориентируясь на внедрение методов оценки на основе </w:t>
      </w:r>
      <w:proofErr w:type="spellStart"/>
      <w:r w:rsidRPr="00E73D8B">
        <w:rPr>
          <w:sz w:val="28"/>
          <w:szCs w:val="28"/>
        </w:rPr>
        <w:t>немарковских</w:t>
      </w:r>
      <w:proofErr w:type="spellEnd"/>
      <w:r w:rsidRPr="00E73D8B">
        <w:rPr>
          <w:sz w:val="28"/>
          <w:szCs w:val="28"/>
        </w:rPr>
        <w:t xml:space="preserve"> процессов, связанных с использованием </w:t>
      </w:r>
      <w:proofErr w:type="spellStart"/>
      <w:r w:rsidRPr="00E73D8B">
        <w:rPr>
          <w:sz w:val="28"/>
          <w:szCs w:val="28"/>
        </w:rPr>
        <w:t>синектики</w:t>
      </w:r>
      <w:proofErr w:type="spellEnd"/>
      <w:r w:rsidRPr="00E73D8B">
        <w:rPr>
          <w:sz w:val="28"/>
          <w:szCs w:val="28"/>
        </w:rPr>
        <w:t>, экспертных методов и нечетко-множественных описаний, позволяющие широко оперировать качественными параметрами. Данное направление послужило предметом исследования в настоящей работе.</w:t>
      </w:r>
    </w:p>
    <w:p w:rsidR="00E73D8B" w:rsidRPr="00E73D8B" w:rsidRDefault="00E73D8B" w:rsidP="00E73D8B">
      <w:pPr>
        <w:spacing w:line="360" w:lineRule="auto"/>
        <w:ind w:firstLine="567"/>
        <w:jc w:val="both"/>
        <w:rPr>
          <w:sz w:val="28"/>
          <w:szCs w:val="28"/>
        </w:rPr>
      </w:pPr>
      <w:r w:rsidRPr="00E73D8B">
        <w:rPr>
          <w:sz w:val="28"/>
          <w:szCs w:val="28"/>
        </w:rPr>
        <w:t>Исследование теоретико-методологических проблем риск-менеджмента в условиях отечественных предприятий позволило выявить недостатки и перспективы его ра</w:t>
      </w:r>
      <w:r w:rsidRPr="00E73D8B">
        <w:rPr>
          <w:sz w:val="28"/>
          <w:szCs w:val="28"/>
        </w:rPr>
        <w:t>з</w:t>
      </w:r>
      <w:r w:rsidRPr="00E73D8B">
        <w:rPr>
          <w:sz w:val="28"/>
          <w:szCs w:val="28"/>
        </w:rPr>
        <w:t>вития:</w:t>
      </w:r>
    </w:p>
    <w:p w:rsidR="00E73D8B" w:rsidRPr="00E73D8B" w:rsidRDefault="00E73D8B" w:rsidP="00E73D8B">
      <w:pPr>
        <w:numPr>
          <w:ilvl w:val="0"/>
          <w:numId w:val="1"/>
        </w:numPr>
        <w:tabs>
          <w:tab w:val="clear" w:pos="720"/>
          <w:tab w:val="num" w:pos="927"/>
        </w:tabs>
        <w:autoSpaceDE w:val="0"/>
        <w:autoSpaceDN w:val="0"/>
        <w:adjustRightInd w:val="0"/>
        <w:spacing w:line="360" w:lineRule="auto"/>
        <w:ind w:left="927"/>
        <w:jc w:val="both"/>
        <w:rPr>
          <w:sz w:val="28"/>
          <w:szCs w:val="28"/>
        </w:rPr>
      </w:pPr>
      <w:r w:rsidRPr="00E73D8B">
        <w:rPr>
          <w:color w:val="000000"/>
          <w:sz w:val="28"/>
          <w:szCs w:val="28"/>
        </w:rPr>
        <w:t>сохраняется функциональный характер отечественного риск-менеджмента, что выражается в его опоре на концепцию приемлемого риска и предопределяет его слабое соответствие требованиям управления высоким инновационным риском, содержащим не только возможности негативных проявлений, но возможности достижения высоких позитивных результатов на основе внедрения новшеств;</w:t>
      </w:r>
    </w:p>
    <w:p w:rsidR="00E73D8B" w:rsidRPr="00E73D8B" w:rsidRDefault="00E73D8B" w:rsidP="00E73D8B">
      <w:pPr>
        <w:numPr>
          <w:ilvl w:val="0"/>
          <w:numId w:val="1"/>
        </w:numPr>
        <w:tabs>
          <w:tab w:val="clear" w:pos="720"/>
          <w:tab w:val="num" w:pos="927"/>
        </w:tabs>
        <w:autoSpaceDE w:val="0"/>
        <w:autoSpaceDN w:val="0"/>
        <w:adjustRightInd w:val="0"/>
        <w:spacing w:line="360" w:lineRule="auto"/>
        <w:ind w:left="927"/>
        <w:jc w:val="both"/>
        <w:rPr>
          <w:sz w:val="28"/>
          <w:szCs w:val="28"/>
        </w:rPr>
      </w:pPr>
      <w:r w:rsidRPr="00E73D8B">
        <w:rPr>
          <w:color w:val="000000"/>
          <w:sz w:val="28"/>
          <w:szCs w:val="28"/>
        </w:rPr>
        <w:t xml:space="preserve">недостаток моделей идентификации и оценки высокого инновационного риска на основе </w:t>
      </w:r>
      <w:proofErr w:type="spellStart"/>
      <w:r w:rsidRPr="00E73D8B">
        <w:rPr>
          <w:color w:val="000000"/>
          <w:sz w:val="28"/>
          <w:szCs w:val="28"/>
        </w:rPr>
        <w:t>немарковских</w:t>
      </w:r>
      <w:proofErr w:type="spellEnd"/>
      <w:r w:rsidRPr="00E73D8B">
        <w:rPr>
          <w:color w:val="000000"/>
          <w:sz w:val="28"/>
          <w:szCs w:val="28"/>
        </w:rPr>
        <w:t xml:space="preserve"> процессов предопределяет развитие методологии риск-менеджмента в направлении широкого использования экспертных методов с применением рефлексивного подхода, нечеткой логики и аппарата теории н</w:t>
      </w:r>
      <w:r w:rsidRPr="00E73D8B">
        <w:rPr>
          <w:color w:val="000000"/>
          <w:sz w:val="28"/>
          <w:szCs w:val="28"/>
        </w:rPr>
        <w:t>е</w:t>
      </w:r>
      <w:r w:rsidRPr="00E73D8B">
        <w:rPr>
          <w:color w:val="000000"/>
          <w:sz w:val="28"/>
          <w:szCs w:val="28"/>
        </w:rPr>
        <w:t>четких множеств;</w:t>
      </w:r>
    </w:p>
    <w:p w:rsidR="00E73D8B" w:rsidRPr="00E73D8B" w:rsidRDefault="00E73D8B" w:rsidP="00E73D8B">
      <w:pPr>
        <w:numPr>
          <w:ilvl w:val="0"/>
          <w:numId w:val="1"/>
        </w:numPr>
        <w:tabs>
          <w:tab w:val="clear" w:pos="720"/>
          <w:tab w:val="num" w:pos="927"/>
        </w:tabs>
        <w:autoSpaceDE w:val="0"/>
        <w:autoSpaceDN w:val="0"/>
        <w:adjustRightInd w:val="0"/>
        <w:spacing w:line="360" w:lineRule="auto"/>
        <w:ind w:left="927"/>
        <w:jc w:val="both"/>
        <w:rPr>
          <w:sz w:val="28"/>
          <w:szCs w:val="28"/>
        </w:rPr>
      </w:pPr>
      <w:r w:rsidRPr="00E73D8B">
        <w:rPr>
          <w:sz w:val="28"/>
          <w:szCs w:val="28"/>
        </w:rPr>
        <w:t>для общей оценки инновационного риска предприятия, реализующего инновационную стратегию, предложен иерархический подход и аддити</w:t>
      </w:r>
      <w:r w:rsidRPr="00E73D8B">
        <w:rPr>
          <w:sz w:val="28"/>
          <w:szCs w:val="28"/>
        </w:rPr>
        <w:t>в</w:t>
      </w:r>
      <w:r w:rsidRPr="00E73D8B">
        <w:rPr>
          <w:sz w:val="28"/>
          <w:szCs w:val="28"/>
        </w:rPr>
        <w:t xml:space="preserve">ная модель, включающая характеристики риска предприятия </w:t>
      </w:r>
      <w:r w:rsidRPr="00E73D8B">
        <w:rPr>
          <w:sz w:val="28"/>
          <w:szCs w:val="28"/>
        </w:rPr>
        <w:lastRenderedPageBreak/>
        <w:t xml:space="preserve">на макро-, мезо- и микроуровне; в </w:t>
      </w:r>
      <w:r w:rsidRPr="00E73D8B">
        <w:rPr>
          <w:color w:val="000000"/>
          <w:sz w:val="28"/>
          <w:szCs w:val="28"/>
        </w:rPr>
        <w:t>дополнение сбалансированной системы показателей деятельн</w:t>
      </w:r>
      <w:r w:rsidRPr="00E73D8B">
        <w:rPr>
          <w:color w:val="000000"/>
          <w:sz w:val="28"/>
          <w:szCs w:val="28"/>
        </w:rPr>
        <w:t>о</w:t>
      </w:r>
      <w:r w:rsidRPr="00E73D8B">
        <w:rPr>
          <w:color w:val="000000"/>
          <w:sz w:val="28"/>
          <w:szCs w:val="28"/>
        </w:rPr>
        <w:t>сти предприятия</w:t>
      </w:r>
      <w:r w:rsidRPr="00E73D8B">
        <w:rPr>
          <w:sz w:val="28"/>
          <w:szCs w:val="28"/>
        </w:rPr>
        <w:t xml:space="preserve"> предложены не только указанные показатели риска, но также показатель цены риска, характеризующий соотношение уровня инновационного риска и уровня стратегических преимуществ, формируемых предприятием в р</w:t>
      </w:r>
      <w:r w:rsidRPr="00E73D8B">
        <w:rPr>
          <w:sz w:val="28"/>
          <w:szCs w:val="28"/>
        </w:rPr>
        <w:t>е</w:t>
      </w:r>
      <w:r w:rsidRPr="00E73D8B">
        <w:rPr>
          <w:sz w:val="28"/>
          <w:szCs w:val="28"/>
        </w:rPr>
        <w:t>зультате реализации инновационной стратегии.</w:t>
      </w:r>
    </w:p>
    <w:p w:rsidR="00E73D8B" w:rsidRPr="00E73D8B" w:rsidRDefault="00E73D8B" w:rsidP="00E73D8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73D8B">
        <w:rPr>
          <w:color w:val="000000"/>
          <w:sz w:val="28"/>
          <w:szCs w:val="28"/>
        </w:rPr>
        <w:t>Исследование проблем математического описания инновационного риска в условиях современных промышленных предприятий, реализующих инновационную стратегию, привело к следующим выводам и обобщениям:</w:t>
      </w:r>
    </w:p>
    <w:p w:rsidR="00E73D8B" w:rsidRPr="00E73D8B" w:rsidRDefault="00E73D8B" w:rsidP="00E73D8B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color w:val="000000"/>
          <w:sz w:val="28"/>
          <w:szCs w:val="28"/>
        </w:rPr>
      </w:pPr>
      <w:r w:rsidRPr="00E73D8B">
        <w:rPr>
          <w:color w:val="000000"/>
          <w:sz w:val="28"/>
          <w:szCs w:val="28"/>
        </w:rPr>
        <w:t>Возникновение нечетко-множественных описаний экономических процессов было обусловлено недостатками традиционных методов на основе вероятностных подходов, неклассических (аксиологических) вероятностей, минимаксных подходов, в том числе метода Гурвица, охватывающих конечное дискретное количество сценариев развития событий. Выход за пределы статистической неопределенности массовых явлений и недостаток исходной информации в исследовании инновационных процессов вызвало потребность в использовании субъективных вероятностей и нечеткой логики.</w:t>
      </w:r>
    </w:p>
    <w:p w:rsidR="00E73D8B" w:rsidRPr="00E73D8B" w:rsidRDefault="00E73D8B" w:rsidP="00E73D8B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color w:val="000000"/>
          <w:sz w:val="28"/>
          <w:szCs w:val="28"/>
        </w:rPr>
      </w:pPr>
      <w:r w:rsidRPr="00E73D8B">
        <w:rPr>
          <w:color w:val="000000"/>
          <w:sz w:val="28"/>
          <w:szCs w:val="28"/>
        </w:rPr>
        <w:t xml:space="preserve">Вероятностный подход (основан на </w:t>
      </w:r>
      <w:proofErr w:type="spellStart"/>
      <w:r w:rsidRPr="00E73D8B">
        <w:rPr>
          <w:color w:val="000000"/>
          <w:sz w:val="28"/>
          <w:szCs w:val="28"/>
        </w:rPr>
        <w:t>марковских</w:t>
      </w:r>
      <w:proofErr w:type="spellEnd"/>
      <w:r w:rsidRPr="00E73D8B">
        <w:rPr>
          <w:color w:val="000000"/>
          <w:sz w:val="28"/>
          <w:szCs w:val="28"/>
        </w:rPr>
        <w:t xml:space="preserve"> процессах) не может быть признан надежным и адекватным инструментом решения слабоструктурированных задач, к которым относятся и задачи управления инновационными проектами. Попытка использования статистических методов для решения такого рода задач представляет собой редукцию к хорошо структурированным (формализованным) задачам, при этом редукция существенно искажает исходную постановку задачи.</w:t>
      </w:r>
    </w:p>
    <w:p w:rsidR="00E73D8B" w:rsidRPr="00E73D8B" w:rsidRDefault="00E73D8B" w:rsidP="00E73D8B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color w:val="000000"/>
          <w:sz w:val="28"/>
          <w:szCs w:val="28"/>
        </w:rPr>
      </w:pPr>
      <w:r w:rsidRPr="00E73D8B">
        <w:rPr>
          <w:color w:val="000000"/>
          <w:sz w:val="28"/>
          <w:szCs w:val="28"/>
        </w:rPr>
        <w:t xml:space="preserve">Преимущества метода нечетко-множественных описаний основаны на том, что исследователь оперирует не косвенными данными (вероятностями), а прямыми данными инновационных проектов о разбросе параметров в рамках интервального подхода, что позволяет </w:t>
      </w:r>
      <w:r w:rsidRPr="00E73D8B">
        <w:rPr>
          <w:color w:val="000000"/>
          <w:sz w:val="28"/>
          <w:szCs w:val="28"/>
        </w:rPr>
        <w:lastRenderedPageBreak/>
        <w:t>охватить не только отдельные дискретные сценарии развития событий, но все возможные сценарии инновационного процесса, образуя их непрерывный спектр. Нечетко-интервальный метод не требует абсолютно точного задания функций принадлежности, так как в отличие от вероятностных методов, получаемый результат характеризуется низкой чувствительностью (высокой устойчивостью) к изменению вида функций принадлежности исходных нечетких чисел, что важно в условиях недостаточного качества исходной информации и делает применение данного метода более привлекательным.</w:t>
      </w:r>
    </w:p>
    <w:p w:rsidR="00E73D8B" w:rsidRPr="00E73D8B" w:rsidRDefault="00E73D8B" w:rsidP="00E73D8B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color w:val="000000"/>
          <w:sz w:val="28"/>
          <w:szCs w:val="28"/>
        </w:rPr>
      </w:pPr>
      <w:r w:rsidRPr="00E73D8B">
        <w:rPr>
          <w:color w:val="000000"/>
          <w:sz w:val="28"/>
          <w:szCs w:val="28"/>
        </w:rPr>
        <w:t xml:space="preserve">В практике инновационного менеджмента часто избегают прямого определения риска, ориентируясь на методы оценки результативности проектов с учетом неопределенности, к которым относятся метод корректировки ставки дисконтирования (премия за риск), метод достоверных эквивалентов (коэффициентов достоверности), анализ чувствительности показателей, метод сценариев, методы теории игр (на основе критериев максимина, </w:t>
      </w:r>
      <w:proofErr w:type="spellStart"/>
      <w:r w:rsidRPr="00E73D8B">
        <w:rPr>
          <w:color w:val="000000"/>
          <w:sz w:val="28"/>
          <w:szCs w:val="28"/>
        </w:rPr>
        <w:t>максимакса</w:t>
      </w:r>
      <w:proofErr w:type="spellEnd"/>
      <w:r w:rsidRPr="00E73D8B">
        <w:rPr>
          <w:color w:val="000000"/>
          <w:sz w:val="28"/>
          <w:szCs w:val="28"/>
        </w:rPr>
        <w:t>), метод построения «дерева решений», имитационное моделирование по методу Монте-Карло. Такой подход, несмотря на широкую распространенность, имеет свои недостатки, в частности, он не дает никакой информации о степени риска, его возможных негативных и позитивных последствиях.</w:t>
      </w:r>
    </w:p>
    <w:p w:rsidR="00E73D8B" w:rsidRPr="00E73D8B" w:rsidRDefault="00E73D8B" w:rsidP="00E73D8B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color w:val="000000"/>
          <w:sz w:val="28"/>
          <w:szCs w:val="28"/>
        </w:rPr>
      </w:pPr>
      <w:r w:rsidRPr="00E73D8B">
        <w:rPr>
          <w:color w:val="000000"/>
          <w:sz w:val="28"/>
          <w:szCs w:val="28"/>
        </w:rPr>
        <w:t>Нечетко-множественные описания инновационных рисков предопределяют широкое использование гибридной информации для имитационного моделирования исследуемых процессов и явлений на основе экспертных методов.</w:t>
      </w:r>
    </w:p>
    <w:p w:rsidR="00E73D8B" w:rsidRPr="00E73D8B" w:rsidRDefault="00E73D8B" w:rsidP="00E73D8B">
      <w:pPr>
        <w:spacing w:line="360" w:lineRule="auto"/>
        <w:ind w:firstLine="709"/>
        <w:jc w:val="both"/>
        <w:rPr>
          <w:sz w:val="28"/>
          <w:szCs w:val="28"/>
        </w:rPr>
      </w:pPr>
      <w:r w:rsidRPr="00E73D8B">
        <w:rPr>
          <w:sz w:val="28"/>
          <w:szCs w:val="28"/>
        </w:rPr>
        <w:t>Разработан механизм и нечетко-множественная модель оценки инновационных рисков современной корпорации:</w:t>
      </w:r>
    </w:p>
    <w:p w:rsidR="00E73D8B" w:rsidRPr="00E73D8B" w:rsidRDefault="00E73D8B" w:rsidP="00E73D8B">
      <w:pPr>
        <w:numPr>
          <w:ilvl w:val="0"/>
          <w:numId w:val="3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sz w:val="28"/>
          <w:szCs w:val="28"/>
        </w:rPr>
      </w:pPr>
      <w:r w:rsidRPr="00E73D8B">
        <w:rPr>
          <w:sz w:val="28"/>
          <w:szCs w:val="28"/>
        </w:rPr>
        <w:t xml:space="preserve">Для исследования инновационного риска предприятия на основе трехуровневого показателя разработан порядок его оценки в виде </w:t>
      </w:r>
      <w:r w:rsidRPr="00E73D8B">
        <w:rPr>
          <w:sz w:val="28"/>
          <w:szCs w:val="28"/>
        </w:rPr>
        <w:lastRenderedPageBreak/>
        <w:t>блок-схемы, включая идентификацию рисков, опрос экспертов, оценку коэффициентов их компетентности и коррекцию весовых коэффициентов мнений экспертов, получение экспертных оценок матрицы парных сравнений критериев, определение показателей риска методом нескольких сверток на основе аппарата нечетких множеств.</w:t>
      </w:r>
    </w:p>
    <w:p w:rsidR="00E73D8B" w:rsidRPr="00E73D8B" w:rsidRDefault="00E73D8B" w:rsidP="00E73D8B">
      <w:pPr>
        <w:numPr>
          <w:ilvl w:val="0"/>
          <w:numId w:val="3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sz w:val="28"/>
          <w:szCs w:val="28"/>
        </w:rPr>
      </w:pPr>
      <w:r w:rsidRPr="00E73D8B">
        <w:rPr>
          <w:sz w:val="28"/>
          <w:szCs w:val="28"/>
        </w:rPr>
        <w:t xml:space="preserve">В качестве меры согласованности мнений экспертов выбран дисперсионный коэффициент </w:t>
      </w:r>
      <w:proofErr w:type="spellStart"/>
      <w:r w:rsidRPr="00E73D8B">
        <w:rPr>
          <w:sz w:val="28"/>
          <w:szCs w:val="28"/>
        </w:rPr>
        <w:t>конкордации</w:t>
      </w:r>
      <w:proofErr w:type="spellEnd"/>
      <w:r w:rsidRPr="00E73D8B">
        <w:rPr>
          <w:sz w:val="28"/>
          <w:szCs w:val="28"/>
        </w:rPr>
        <w:t xml:space="preserve"> </w:t>
      </w:r>
      <w:proofErr w:type="spellStart"/>
      <w:r w:rsidRPr="00E73D8B">
        <w:rPr>
          <w:sz w:val="28"/>
          <w:szCs w:val="28"/>
        </w:rPr>
        <w:t>Кендалла</w:t>
      </w:r>
      <w:proofErr w:type="spellEnd"/>
      <w:r w:rsidRPr="00E73D8B">
        <w:rPr>
          <w:sz w:val="28"/>
          <w:szCs w:val="28"/>
        </w:rPr>
        <w:t xml:space="preserve">: в качестве критической статистики для малых значений количества экспертов и числа альтернатив используются критические значения табулированной величины коэффициента </w:t>
      </w:r>
      <w:proofErr w:type="spellStart"/>
      <w:r w:rsidRPr="00E73D8B">
        <w:rPr>
          <w:sz w:val="28"/>
          <w:szCs w:val="28"/>
        </w:rPr>
        <w:t>конкордации</w:t>
      </w:r>
      <w:proofErr w:type="spellEnd"/>
      <w:r w:rsidRPr="00E73D8B">
        <w:rPr>
          <w:sz w:val="28"/>
          <w:szCs w:val="28"/>
        </w:rPr>
        <w:t>, для больших значений – распределение Пирсона. Для расчета коэффициентов компетентности экспертов применяется итерационный алгоритм А.С. Рыкова. Для агрегирования мнений экспертов применяется среднегеометрическая величина оценок матриц парных сравнений.</w:t>
      </w:r>
    </w:p>
    <w:p w:rsidR="00E73D8B" w:rsidRPr="00E73D8B" w:rsidRDefault="00E73D8B" w:rsidP="00E73D8B">
      <w:pPr>
        <w:numPr>
          <w:ilvl w:val="0"/>
          <w:numId w:val="3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sz w:val="28"/>
          <w:szCs w:val="28"/>
        </w:rPr>
      </w:pPr>
      <w:r w:rsidRPr="00E73D8B">
        <w:rPr>
          <w:sz w:val="28"/>
          <w:szCs w:val="28"/>
        </w:rPr>
        <w:t>Совокупный расчет показателей инновационного риска основан на следующих видах сверток: 1) многокритериальный выбор альтернатив на основе пересечения нече</w:t>
      </w:r>
      <w:r w:rsidRPr="00E73D8B">
        <w:rPr>
          <w:sz w:val="28"/>
          <w:szCs w:val="28"/>
        </w:rPr>
        <w:t>т</w:t>
      </w:r>
      <w:r w:rsidRPr="00E73D8B">
        <w:rPr>
          <w:sz w:val="28"/>
          <w:szCs w:val="28"/>
        </w:rPr>
        <w:t>ких множеств; 2) нечеткое отношение предпочтения; 3) аддитивная свертка; 4) стандартный пятиуровневый н</w:t>
      </w:r>
      <w:r w:rsidRPr="00E73D8B">
        <w:rPr>
          <w:sz w:val="28"/>
          <w:szCs w:val="28"/>
        </w:rPr>
        <w:t>е</w:t>
      </w:r>
      <w:r w:rsidRPr="00E73D8B">
        <w:rPr>
          <w:sz w:val="28"/>
          <w:szCs w:val="28"/>
        </w:rPr>
        <w:t>четкий классификатор; 5) нестандартный пятиуровневый нечеткий классификатор. Построены лингвистические пер</w:t>
      </w:r>
      <w:r w:rsidRPr="00E73D8B">
        <w:rPr>
          <w:sz w:val="28"/>
          <w:szCs w:val="28"/>
        </w:rPr>
        <w:t>е</w:t>
      </w:r>
      <w:r w:rsidRPr="00E73D8B">
        <w:rPr>
          <w:sz w:val="28"/>
          <w:szCs w:val="28"/>
        </w:rPr>
        <w:t>менные по числу критериев риска, каждая из которых обладает следующим терм-множеством значений: «Очень низкий риск», «Низкий риск», «Сре</w:t>
      </w:r>
      <w:r w:rsidRPr="00E73D8B">
        <w:rPr>
          <w:sz w:val="28"/>
          <w:szCs w:val="28"/>
        </w:rPr>
        <w:t>д</w:t>
      </w:r>
      <w:r w:rsidRPr="00E73D8B">
        <w:rPr>
          <w:sz w:val="28"/>
          <w:szCs w:val="28"/>
        </w:rPr>
        <w:t>ний риск», «Высокий риск», «Очень высокий риск». Значения термов множества заданы н</w:t>
      </w:r>
      <w:r w:rsidRPr="00E73D8B">
        <w:rPr>
          <w:sz w:val="28"/>
          <w:szCs w:val="28"/>
        </w:rPr>
        <w:t>е</w:t>
      </w:r>
      <w:r w:rsidRPr="00E73D8B">
        <w:rPr>
          <w:sz w:val="28"/>
          <w:szCs w:val="28"/>
        </w:rPr>
        <w:t>четкими числами (1…5), которые имеют треугольный вид функций принадлежности (0…1).</w:t>
      </w:r>
    </w:p>
    <w:p w:rsidR="00E73D8B" w:rsidRPr="00E73D8B" w:rsidRDefault="00E73D8B" w:rsidP="00E73D8B">
      <w:pPr>
        <w:numPr>
          <w:ilvl w:val="0"/>
          <w:numId w:val="3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sz w:val="28"/>
          <w:szCs w:val="28"/>
        </w:rPr>
      </w:pPr>
      <w:r w:rsidRPr="00E73D8B">
        <w:rPr>
          <w:sz w:val="28"/>
          <w:szCs w:val="28"/>
        </w:rPr>
        <w:t xml:space="preserve">Предлагаемый механизм управления риском на предприятии, реализующем инновационную стратегию, включает изложенную выше модель оценки рисков и метод контроля инновационных </w:t>
      </w:r>
      <w:r w:rsidRPr="00E73D8B">
        <w:rPr>
          <w:sz w:val="28"/>
          <w:szCs w:val="28"/>
        </w:rPr>
        <w:lastRenderedPageBreak/>
        <w:t xml:space="preserve">рисков на основе трехуровневого показателя. Для формализации контроля рисков используется карта рисков, содержащая информацию о рисках (возможных выгодах и ущербах) предприятия по трем уровням – макроуровню, </w:t>
      </w:r>
      <w:proofErr w:type="spellStart"/>
      <w:r w:rsidRPr="00E73D8B">
        <w:rPr>
          <w:sz w:val="28"/>
          <w:szCs w:val="28"/>
        </w:rPr>
        <w:t>мезоуровню</w:t>
      </w:r>
      <w:proofErr w:type="spellEnd"/>
      <w:r w:rsidRPr="00E73D8B">
        <w:rPr>
          <w:sz w:val="28"/>
          <w:szCs w:val="28"/>
        </w:rPr>
        <w:t xml:space="preserve"> и микроуровню. Нанесение на одну карту рисков как информации о возможных выгодах (позитивных результатах), так и информации о возможных ущербах (негативных результатах) позволяет выявить уровень риск-аппетита предприятия.</w:t>
      </w:r>
    </w:p>
    <w:p w:rsidR="00E73D8B" w:rsidRPr="00E73D8B" w:rsidRDefault="00E73D8B" w:rsidP="00E73D8B">
      <w:pPr>
        <w:spacing w:line="360" w:lineRule="auto"/>
        <w:ind w:firstLine="567"/>
        <w:jc w:val="both"/>
        <w:rPr>
          <w:sz w:val="28"/>
          <w:szCs w:val="28"/>
        </w:rPr>
      </w:pPr>
      <w:r w:rsidRPr="00E73D8B">
        <w:rPr>
          <w:sz w:val="28"/>
          <w:szCs w:val="28"/>
        </w:rPr>
        <w:t>Применение технологии нечеткого когнитивного моделирования в системе управления инновационными рисками корпораций, в отличие от традиционных динамических моделей, позволяет действовать на опережение и не доводить потенциально опасные ситу</w:t>
      </w:r>
      <w:r w:rsidRPr="00E73D8B">
        <w:rPr>
          <w:sz w:val="28"/>
          <w:szCs w:val="28"/>
        </w:rPr>
        <w:t>а</w:t>
      </w:r>
      <w:r w:rsidRPr="00E73D8B">
        <w:rPr>
          <w:sz w:val="28"/>
          <w:szCs w:val="28"/>
        </w:rPr>
        <w:t>ции до угрожающих и конфликтных, строить модели в интересах анализа и прогнозирования развития технических, технологических, экономических и социальных подсистем.</w:t>
      </w:r>
    </w:p>
    <w:p w:rsidR="00E73D8B" w:rsidRPr="00E73D8B" w:rsidRDefault="00E73D8B" w:rsidP="00E73D8B">
      <w:pPr>
        <w:spacing w:line="360" w:lineRule="auto"/>
        <w:ind w:firstLine="567"/>
        <w:jc w:val="both"/>
        <w:rPr>
          <w:sz w:val="28"/>
          <w:szCs w:val="28"/>
        </w:rPr>
      </w:pPr>
      <w:r w:rsidRPr="00E73D8B">
        <w:rPr>
          <w:sz w:val="28"/>
          <w:szCs w:val="28"/>
        </w:rPr>
        <w:t>Предлагаемая методология нечеткого когнитивного моделирования иерархических проблемно-ориентированных систем опирается на принцип сочетания формализованных методов м</w:t>
      </w:r>
      <w:r w:rsidRPr="00E73D8B">
        <w:rPr>
          <w:sz w:val="28"/>
          <w:szCs w:val="28"/>
        </w:rPr>
        <w:t>о</w:t>
      </w:r>
      <w:r w:rsidRPr="00E73D8B">
        <w:rPr>
          <w:sz w:val="28"/>
          <w:szCs w:val="28"/>
        </w:rPr>
        <w:t>делирования и экспертных процедур с целью повышения уровня обоснованности и коллегиальности принимаемых управленческих решений в силу принципиал</w:t>
      </w:r>
      <w:r w:rsidRPr="00E73D8B">
        <w:rPr>
          <w:sz w:val="28"/>
          <w:szCs w:val="28"/>
        </w:rPr>
        <w:t>ь</w:t>
      </w:r>
      <w:r w:rsidRPr="00E73D8B">
        <w:rPr>
          <w:sz w:val="28"/>
          <w:szCs w:val="28"/>
        </w:rPr>
        <w:t>ной невозможности полной формализации процедур принятия решений, систем предпочтений и ценностных установок корпорации.</w:t>
      </w:r>
    </w:p>
    <w:p w:rsidR="00C6704C" w:rsidRPr="00E73D8B" w:rsidRDefault="00C6704C">
      <w:pPr>
        <w:rPr>
          <w:sz w:val="28"/>
          <w:szCs w:val="28"/>
        </w:rPr>
      </w:pPr>
    </w:p>
    <w:sectPr w:rsidR="00C6704C" w:rsidRPr="00E7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470D"/>
    <w:multiLevelType w:val="hybridMultilevel"/>
    <w:tmpl w:val="FBDE1C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02D0B"/>
    <w:multiLevelType w:val="hybridMultilevel"/>
    <w:tmpl w:val="5008B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C8C1270"/>
    <w:multiLevelType w:val="hybridMultilevel"/>
    <w:tmpl w:val="FEFC93DA"/>
    <w:lvl w:ilvl="0" w:tplc="9AD0A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73"/>
    <w:rsid w:val="00066E35"/>
    <w:rsid w:val="00122D42"/>
    <w:rsid w:val="00263017"/>
    <w:rsid w:val="00276EF3"/>
    <w:rsid w:val="00575EDF"/>
    <w:rsid w:val="00701E47"/>
    <w:rsid w:val="007F0296"/>
    <w:rsid w:val="00852FE9"/>
    <w:rsid w:val="008A0273"/>
    <w:rsid w:val="009C5C60"/>
    <w:rsid w:val="00BC2311"/>
    <w:rsid w:val="00C440B4"/>
    <w:rsid w:val="00C6576A"/>
    <w:rsid w:val="00C6704C"/>
    <w:rsid w:val="00C90AC1"/>
    <w:rsid w:val="00CB69D0"/>
    <w:rsid w:val="00D7092E"/>
    <w:rsid w:val="00DE3EC4"/>
    <w:rsid w:val="00E67AFF"/>
    <w:rsid w:val="00E73D8B"/>
    <w:rsid w:val="00F44C74"/>
    <w:rsid w:val="00F539CD"/>
    <w:rsid w:val="00F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F835A-3B70-4F96-B8E9-C80DE3A6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1497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БРИЛЁВА АЛИНА</dc:creator>
  <cp:keywords/>
  <dc:description/>
  <cp:lastModifiedBy>БРИЛЁВА АЛИНА</cp:lastModifiedBy>
  <cp:revision>2</cp:revision>
  <dcterms:created xsi:type="dcterms:W3CDTF">2020-09-08T15:25:00Z</dcterms:created>
  <dcterms:modified xsi:type="dcterms:W3CDTF">2020-09-08T15:28:00Z</dcterms:modified>
</cp:coreProperties>
</file>